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C23" w:rsidRDefault="002F0C23" w:rsidP="002F0C23">
      <w:pPr>
        <w:rPr>
          <w:rFonts w:ascii="Arial" w:hAnsi="Arial" w:cs="Arial"/>
          <w:b/>
          <w:bCs/>
        </w:rPr>
      </w:pPr>
      <w:r w:rsidRPr="001A5E6A">
        <w:rPr>
          <w:rFonts w:ascii="Arial" w:hAnsi="Arial" w:cs="Arial"/>
          <w:b/>
          <w:bCs/>
        </w:rPr>
        <w:t>Dotaz</w:t>
      </w:r>
      <w:r>
        <w:rPr>
          <w:rFonts w:ascii="Arial" w:hAnsi="Arial" w:cs="Arial"/>
          <w:b/>
          <w:bCs/>
        </w:rPr>
        <w:t xml:space="preserve"> a odpověď</w:t>
      </w:r>
      <w:r w:rsidRPr="001A5E6A">
        <w:rPr>
          <w:rFonts w:ascii="Arial" w:hAnsi="Arial" w:cs="Arial"/>
          <w:b/>
          <w:bCs/>
        </w:rPr>
        <w:t xml:space="preserve"> č. </w:t>
      </w:r>
      <w:r>
        <w:rPr>
          <w:rFonts w:ascii="Arial" w:hAnsi="Arial" w:cs="Arial"/>
          <w:b/>
          <w:bCs/>
        </w:rPr>
        <w:t>6</w:t>
      </w:r>
      <w:r w:rsidRPr="001A5E6A">
        <w:rPr>
          <w:rFonts w:ascii="Arial" w:hAnsi="Arial" w:cs="Arial"/>
          <w:b/>
          <w:bCs/>
        </w:rPr>
        <w:t xml:space="preserve"> k veřejné zakázce "Dodávky </w:t>
      </w:r>
      <w:r>
        <w:rPr>
          <w:rFonts w:ascii="Arial" w:hAnsi="Arial" w:cs="Arial"/>
          <w:b/>
          <w:bCs/>
        </w:rPr>
        <w:t>regulačních armatur</w:t>
      </w:r>
      <w:r w:rsidRPr="001A5E6A">
        <w:rPr>
          <w:rFonts w:ascii="Arial" w:hAnsi="Arial" w:cs="Arial"/>
          <w:b/>
          <w:bCs/>
        </w:rPr>
        <w:t xml:space="preserve">", </w:t>
      </w:r>
    </w:p>
    <w:p w:rsidR="002F0C23" w:rsidRDefault="002F0C23" w:rsidP="002F0C23">
      <w:pPr>
        <w:rPr>
          <w:rFonts w:ascii="Arial" w:hAnsi="Arial" w:cs="Arial"/>
          <w:b/>
          <w:bCs/>
        </w:rPr>
      </w:pPr>
      <w:proofErr w:type="spellStart"/>
      <w:r w:rsidRPr="001A5E6A">
        <w:rPr>
          <w:rFonts w:ascii="Arial" w:hAnsi="Arial" w:cs="Arial"/>
          <w:b/>
          <w:bCs/>
        </w:rPr>
        <w:t>evid.č</w:t>
      </w:r>
      <w:proofErr w:type="spellEnd"/>
      <w:r w:rsidRPr="001A5E6A">
        <w:rPr>
          <w:rFonts w:ascii="Arial" w:hAnsi="Arial" w:cs="Arial"/>
          <w:b/>
          <w:bCs/>
        </w:rPr>
        <w:t>. VZ 4923</w:t>
      </w:r>
      <w:r>
        <w:rPr>
          <w:rFonts w:ascii="Arial" w:hAnsi="Arial" w:cs="Arial"/>
          <w:b/>
          <w:bCs/>
        </w:rPr>
        <w:t>90</w:t>
      </w:r>
      <w:r w:rsidRPr="001A5E6A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</w:p>
    <w:p w:rsidR="002F0C23" w:rsidRDefault="002F0C23" w:rsidP="002F0C23">
      <w:pPr>
        <w:rPr>
          <w:rFonts w:ascii="Arial" w:hAnsi="Arial" w:cs="Arial"/>
          <w:b/>
          <w:bCs/>
        </w:rPr>
      </w:pPr>
    </w:p>
    <w:p w:rsidR="001C5399" w:rsidRPr="002F0C23" w:rsidRDefault="001C5399" w:rsidP="001C539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2F0C23">
        <w:rPr>
          <w:rFonts w:ascii="Arial" w:hAnsi="Arial" w:cs="Arial"/>
          <w:b/>
          <w:bCs/>
          <w:sz w:val="22"/>
          <w:szCs w:val="22"/>
        </w:rPr>
        <w:t xml:space="preserve">Stanovení vstupního tlaku u STL RS 1200 – krátká verze. </w:t>
      </w:r>
    </w:p>
    <w:p w:rsidR="001C5399" w:rsidRPr="002F0C23" w:rsidRDefault="001C5399" w:rsidP="001C5399">
      <w:pPr>
        <w:pStyle w:val="Odstavecseseznamem"/>
        <w:ind w:left="0"/>
        <w:jc w:val="both"/>
        <w:rPr>
          <w:rFonts w:ascii="Arial" w:hAnsi="Arial" w:cs="Arial"/>
          <w:bCs/>
          <w:sz w:val="22"/>
          <w:szCs w:val="22"/>
        </w:rPr>
      </w:pPr>
      <w:r w:rsidRPr="002F0C23">
        <w:rPr>
          <w:rFonts w:ascii="Arial" w:hAnsi="Arial" w:cs="Arial"/>
          <w:bCs/>
          <w:sz w:val="22"/>
          <w:szCs w:val="22"/>
        </w:rPr>
        <w:t>V dokumentu TS – regulátory tlaku plynu (Technická specifikace regulátoru tlaku plynu a bezpečnostních uzávěrů) jsou STL RS 1200 ve specifikaci rozděleny dle provozního tlaku na dva typy - pro provozní tlak 1 bar a 3 bary.</w:t>
      </w:r>
    </w:p>
    <w:p w:rsidR="001C5399" w:rsidRPr="002F0C23" w:rsidRDefault="001C5399" w:rsidP="001C5399">
      <w:pPr>
        <w:pStyle w:val="Odstavecseseznamem"/>
        <w:ind w:left="0"/>
        <w:jc w:val="both"/>
        <w:rPr>
          <w:rFonts w:ascii="Arial" w:hAnsi="Arial" w:cs="Arial"/>
          <w:bCs/>
          <w:sz w:val="22"/>
          <w:szCs w:val="22"/>
        </w:rPr>
      </w:pPr>
      <w:r w:rsidRPr="002F0C23">
        <w:rPr>
          <w:rFonts w:ascii="Arial" w:hAnsi="Arial" w:cs="Arial"/>
          <w:bCs/>
          <w:sz w:val="22"/>
          <w:szCs w:val="22"/>
        </w:rPr>
        <w:t xml:space="preserve">Rovněž v příloze č. 6 „Hodnocení kvalifikace „ je samostatný řádek pro uvedení sestavy regulátoru a BRU pro provozní tlak 1 bar (část zakázky 9) a další řádek pro sestavu pro provozní tlak 3 bary (část zakázky 10). Oproti dokumentu „Technická specifikace…“  je zde navíc uvedena </w:t>
      </w:r>
      <w:proofErr w:type="gramStart"/>
      <w:r w:rsidRPr="002F0C23">
        <w:rPr>
          <w:rFonts w:ascii="Arial" w:hAnsi="Arial" w:cs="Arial"/>
          <w:bCs/>
          <w:sz w:val="22"/>
          <w:szCs w:val="22"/>
        </w:rPr>
        <w:t>kategorie  STL</w:t>
      </w:r>
      <w:proofErr w:type="gramEnd"/>
      <w:r w:rsidRPr="002F0C23">
        <w:rPr>
          <w:rFonts w:ascii="Arial" w:hAnsi="Arial" w:cs="Arial"/>
          <w:bCs/>
          <w:sz w:val="22"/>
          <w:szCs w:val="22"/>
        </w:rPr>
        <w:t xml:space="preserve"> RS 1200 – krátká verze (část zakázky 8)  a u této kategorie není na rozdíl od standardní verze rozlišován provozní vstupní tlak. V našem návrhu jsou pro oba zmíněné provozní tlaky odlišné dimenze armatur. Z toho plyne rozdílná cena, diference mezi vstupním a výstupním tlakem má rovněž vliv na celkovou hlučnost sestavy.</w:t>
      </w:r>
    </w:p>
    <w:p w:rsidR="001C5399" w:rsidRPr="002F0C23" w:rsidRDefault="001C5399" w:rsidP="001C5399">
      <w:pPr>
        <w:pStyle w:val="Odstavecseseznamem"/>
        <w:ind w:left="0"/>
        <w:jc w:val="both"/>
        <w:rPr>
          <w:rFonts w:ascii="Arial" w:hAnsi="Arial" w:cs="Arial"/>
          <w:bCs/>
          <w:sz w:val="22"/>
          <w:szCs w:val="22"/>
        </w:rPr>
      </w:pPr>
      <w:r w:rsidRPr="002F0C23">
        <w:rPr>
          <w:rFonts w:ascii="Arial" w:hAnsi="Arial" w:cs="Arial"/>
          <w:bCs/>
          <w:sz w:val="22"/>
          <w:szCs w:val="22"/>
        </w:rPr>
        <w:t>Náš dotaz zní, zda neuvažujete i pro krátkou verzi STL RS 1200 vypsat dvě kategorie, nebo zda tuto kategorii zcela vypustit z přílohy č. 6, neboť regulátory a BRU jsou pro jednotlivé provozní tlaky stejné jak pro standardní verzi, tak i pro krátkou verzi a liší se pouze provedení technologie RS. Pokud zůstane v platnosti původní zadání, sdělte nám, pro jaký vstupní provozní tlak máme dimenzovat armatury pro STL RS 1200 – krátká verze.</w:t>
      </w:r>
    </w:p>
    <w:p w:rsidR="000C7A00" w:rsidRPr="002F0C23" w:rsidRDefault="000C7A00" w:rsidP="001C5399">
      <w:pPr>
        <w:pStyle w:val="Odstavecseseznamem"/>
        <w:ind w:left="0"/>
        <w:jc w:val="both"/>
        <w:rPr>
          <w:rFonts w:ascii="Arial" w:hAnsi="Arial" w:cs="Arial"/>
          <w:bCs/>
          <w:sz w:val="22"/>
          <w:szCs w:val="22"/>
        </w:rPr>
      </w:pPr>
    </w:p>
    <w:p w:rsidR="000C7A00" w:rsidRPr="002F0C23" w:rsidRDefault="000C7A00" w:rsidP="000C7A00">
      <w:pPr>
        <w:rPr>
          <w:rFonts w:ascii="Arial" w:hAnsi="Arial" w:cs="Arial"/>
          <w:color w:val="1F497D" w:themeColor="text2"/>
          <w:sz w:val="22"/>
          <w:szCs w:val="22"/>
          <w:u w:val="single"/>
        </w:rPr>
      </w:pPr>
      <w:r w:rsidRPr="002F0C23">
        <w:rPr>
          <w:rFonts w:ascii="Arial" w:hAnsi="Arial" w:cs="Arial"/>
          <w:color w:val="1F497D" w:themeColor="text2"/>
          <w:sz w:val="22"/>
          <w:szCs w:val="22"/>
          <w:u w:val="single"/>
        </w:rPr>
        <w:t>Odpověď k bodu č. 1:</w:t>
      </w:r>
    </w:p>
    <w:p w:rsidR="000C7A00" w:rsidRPr="002F0C23" w:rsidRDefault="000C7A00" w:rsidP="000C7A00">
      <w:pPr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2F0C23">
        <w:rPr>
          <w:rFonts w:ascii="Arial" w:hAnsi="Arial" w:cs="Arial"/>
          <w:color w:val="1F497D" w:themeColor="text2"/>
          <w:sz w:val="22"/>
          <w:szCs w:val="22"/>
        </w:rPr>
        <w:t xml:space="preserve">V reakci na dotaz uchazeče zadavatel uvádí, že krátkou verzi STL RS 1200 nerozšíří o druhou kategorii, ačkoliv se bude jednat o stejný typ regulátoru jako pro standardní verzi. Členění této veřejné zakázky odpovídá členění typových projektů podle regulačních stanic. </w:t>
      </w:r>
      <w:r w:rsidRPr="002F0C23">
        <w:rPr>
          <w:rFonts w:ascii="Arial" w:hAnsi="Arial" w:cs="Arial"/>
          <w:b/>
          <w:color w:val="1F497D" w:themeColor="text2"/>
          <w:sz w:val="22"/>
          <w:szCs w:val="22"/>
        </w:rPr>
        <w:t>Vstupní provozní tlak pro STL RS 1200 krátká verze je 3 bary</w:t>
      </w:r>
      <w:r w:rsidRPr="002F0C23">
        <w:rPr>
          <w:rFonts w:ascii="Arial" w:hAnsi="Arial" w:cs="Arial"/>
          <w:color w:val="1F497D" w:themeColor="text2"/>
          <w:sz w:val="22"/>
          <w:szCs w:val="22"/>
        </w:rPr>
        <w:t>, což zadavatel současně doplňuje do tabulky obsažené v příloze č. 6 Kvalifikační dokumentace.</w:t>
      </w:r>
    </w:p>
    <w:p w:rsidR="000C7A00" w:rsidRPr="002F0C23" w:rsidRDefault="000C7A00" w:rsidP="001C5399">
      <w:pPr>
        <w:pStyle w:val="Odstavecseseznamem"/>
        <w:ind w:left="0"/>
        <w:jc w:val="both"/>
        <w:rPr>
          <w:rFonts w:ascii="Arial" w:hAnsi="Arial" w:cs="Arial"/>
          <w:bCs/>
          <w:sz w:val="22"/>
          <w:szCs w:val="22"/>
        </w:rPr>
      </w:pPr>
    </w:p>
    <w:p w:rsidR="001C5399" w:rsidRPr="002F0C23" w:rsidRDefault="001C5399" w:rsidP="001C5399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</w:p>
    <w:p w:rsidR="001C5399" w:rsidRPr="002F0C23" w:rsidRDefault="001C5399" w:rsidP="001C539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2F0C23">
        <w:rPr>
          <w:rFonts w:ascii="Arial" w:hAnsi="Arial" w:cs="Arial"/>
          <w:b/>
          <w:bCs/>
          <w:sz w:val="22"/>
          <w:szCs w:val="22"/>
        </w:rPr>
        <w:t>Teplota plynu:  -20° až +60°C</w:t>
      </w:r>
    </w:p>
    <w:p w:rsidR="001C5399" w:rsidRPr="002F0C23" w:rsidRDefault="001C5399" w:rsidP="001C5399">
      <w:pPr>
        <w:pStyle w:val="Odstavecseseznamem"/>
        <w:ind w:left="0"/>
        <w:jc w:val="both"/>
        <w:rPr>
          <w:rFonts w:ascii="Arial" w:hAnsi="Arial" w:cs="Arial"/>
          <w:bCs/>
          <w:sz w:val="22"/>
          <w:szCs w:val="22"/>
        </w:rPr>
      </w:pPr>
      <w:r w:rsidRPr="002F0C23">
        <w:rPr>
          <w:rFonts w:ascii="Arial" w:hAnsi="Arial" w:cs="Arial"/>
          <w:bCs/>
          <w:sz w:val="22"/>
          <w:szCs w:val="22"/>
        </w:rPr>
        <w:t xml:space="preserve">V dokumentu TS – regulátory tlaku plynu (Technická specifikace regulátoru tlaku plynu a bezpečnostních uzávěrů) je stanoveno, že: „Regulátor (resp. Bezpečnostní rychlouzávěr) musí být konstruován tak, aby zaručoval správný chod při suchém plynu v rozsahu teplot -20°C až +60°C“. S ohledem na klimatické podmínky v ČR a rovněž na základě provozních zkušeností a znalostí se nám toto kritérium jeví jako zbytečně přísné. Standardně, a to ani v zimních měsících neklesá teplota v plynovodech pod nulovou hodnotu. V níže uvedeném odstavci cituji naše vyjádření, jež bylo adresováno i na Vaši adresu v rámci našeho dopisu pod zn. </w:t>
      </w:r>
      <w:proofErr w:type="spellStart"/>
      <w:r w:rsidRPr="002F0C23">
        <w:rPr>
          <w:rFonts w:ascii="Arial" w:hAnsi="Arial" w:cs="Arial"/>
          <w:b/>
          <w:bCs/>
          <w:sz w:val="22"/>
          <w:szCs w:val="22"/>
        </w:rPr>
        <w:t>D04</w:t>
      </w:r>
      <w:proofErr w:type="spellEnd"/>
      <w:r w:rsidRPr="002F0C23">
        <w:rPr>
          <w:rFonts w:ascii="Arial" w:hAnsi="Arial" w:cs="Arial"/>
          <w:b/>
          <w:bCs/>
          <w:sz w:val="22"/>
          <w:szCs w:val="22"/>
        </w:rPr>
        <w:t>/08/</w:t>
      </w:r>
      <w:r w:rsidRPr="002F0C23">
        <w:rPr>
          <w:rFonts w:ascii="Arial" w:hAnsi="Arial" w:cs="Arial"/>
          <w:b/>
          <w:bCs/>
          <w:sz w:val="22"/>
          <w:szCs w:val="22"/>
        </w:rPr>
        <w:fldChar w:fldCharType="begin"/>
      </w:r>
      <w:r w:rsidRPr="002F0C23">
        <w:rPr>
          <w:rFonts w:ascii="Arial" w:hAnsi="Arial" w:cs="Arial"/>
          <w:b/>
          <w:bCs/>
          <w:sz w:val="22"/>
          <w:szCs w:val="22"/>
        </w:rPr>
        <w:instrText xml:space="preserve"> DOCVARIABLE  NaseZnacka  \* MERGEFORMAT </w:instrText>
      </w:r>
      <w:r w:rsidRPr="002F0C23">
        <w:rPr>
          <w:rFonts w:ascii="Arial" w:hAnsi="Arial" w:cs="Arial"/>
          <w:b/>
          <w:bCs/>
          <w:sz w:val="22"/>
          <w:szCs w:val="22"/>
        </w:rPr>
        <w:fldChar w:fldCharType="end"/>
      </w:r>
      <w:r w:rsidRPr="002F0C23">
        <w:rPr>
          <w:rFonts w:ascii="Arial" w:hAnsi="Arial" w:cs="Arial"/>
          <w:b/>
          <w:bCs/>
          <w:sz w:val="22"/>
          <w:szCs w:val="22"/>
        </w:rPr>
        <w:t>OTO/PV</w:t>
      </w:r>
      <w:r w:rsidRPr="002F0C23">
        <w:rPr>
          <w:rFonts w:ascii="Arial" w:hAnsi="Arial" w:cs="Arial"/>
          <w:bCs/>
          <w:sz w:val="22"/>
          <w:szCs w:val="22"/>
        </w:rPr>
        <w:t xml:space="preserve">: </w:t>
      </w:r>
    </w:p>
    <w:p w:rsidR="001C5399" w:rsidRPr="002F0C23" w:rsidRDefault="001C5399" w:rsidP="001C5399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</w:p>
    <w:p w:rsidR="001C5399" w:rsidRPr="002F0C23" w:rsidRDefault="001C5399" w:rsidP="001C5399">
      <w:pPr>
        <w:pStyle w:val="Odstavecseseznamem"/>
        <w:ind w:left="0"/>
        <w:jc w:val="both"/>
        <w:rPr>
          <w:rFonts w:ascii="Arial" w:hAnsi="Arial" w:cs="Arial"/>
          <w:bCs/>
          <w:sz w:val="22"/>
          <w:szCs w:val="22"/>
        </w:rPr>
      </w:pPr>
      <w:r w:rsidRPr="002F0C23">
        <w:rPr>
          <w:rFonts w:ascii="Arial" w:hAnsi="Arial" w:cs="Arial"/>
          <w:bCs/>
          <w:sz w:val="22"/>
          <w:szCs w:val="22"/>
        </w:rPr>
        <w:t>Náš dotaz zní, na základě jakých provozních zkušeností byl do technické specifikace zařazen požadavek na odolnost regulačních armatur vůči teplotám dle třídy 2 ČSN EN 334 a zda pro tento krok existují reálné důvody.</w:t>
      </w:r>
    </w:p>
    <w:p w:rsidR="001C5399" w:rsidRPr="002F0C23" w:rsidRDefault="001C5399" w:rsidP="001C5399">
      <w:pPr>
        <w:pStyle w:val="Odstavecseseznamem"/>
        <w:ind w:left="0"/>
        <w:jc w:val="both"/>
        <w:rPr>
          <w:rFonts w:ascii="Arial" w:hAnsi="Arial" w:cs="Arial"/>
          <w:bCs/>
          <w:sz w:val="22"/>
          <w:szCs w:val="22"/>
        </w:rPr>
      </w:pPr>
      <w:r w:rsidRPr="002F0C23">
        <w:rPr>
          <w:rFonts w:ascii="Arial" w:hAnsi="Arial" w:cs="Arial"/>
          <w:bCs/>
          <w:sz w:val="22"/>
          <w:szCs w:val="22"/>
        </w:rPr>
        <w:t>Dodávky regulačních armatur, které vyhovují této přísné klasifikaci, jsou realizovatelné, ale tak</w:t>
      </w:r>
      <w:r w:rsidRPr="002F0C23">
        <w:rPr>
          <w:rFonts w:ascii="Arial" w:hAnsi="Arial" w:cs="Arial"/>
          <w:bCs/>
          <w:sz w:val="22"/>
          <w:szCs w:val="22"/>
        </w:rPr>
        <w:fldChar w:fldCharType="begin"/>
      </w:r>
      <w:r w:rsidRPr="002F0C23">
        <w:rPr>
          <w:rFonts w:ascii="Arial" w:hAnsi="Arial" w:cs="Arial"/>
          <w:bCs/>
          <w:sz w:val="22"/>
          <w:szCs w:val="22"/>
        </w:rPr>
        <w:instrText xml:space="preserve"> DOCVARIABLE  NaseZnacka  \* MERGEFORMAT </w:instrText>
      </w:r>
      <w:r w:rsidRPr="002F0C23">
        <w:rPr>
          <w:rFonts w:ascii="Arial" w:hAnsi="Arial" w:cs="Arial"/>
          <w:bCs/>
          <w:sz w:val="22"/>
          <w:szCs w:val="22"/>
        </w:rPr>
        <w:fldChar w:fldCharType="end"/>
      </w:r>
      <w:r w:rsidRPr="002F0C23">
        <w:rPr>
          <w:rFonts w:ascii="Arial" w:hAnsi="Arial" w:cs="Arial"/>
          <w:bCs/>
          <w:sz w:val="22"/>
          <w:szCs w:val="22"/>
        </w:rPr>
        <w:t>, jak je v předchozím odstavci naznačeno, jedná se o dražší řešení a nejsme přesvědčeni, že jsou tyto zvýšené nároky v podmínkách českého plynárenství opodstatněné.</w:t>
      </w:r>
    </w:p>
    <w:p w:rsidR="000C7A00" w:rsidRPr="002F0C23" w:rsidRDefault="000C7A00" w:rsidP="001C5399">
      <w:pPr>
        <w:pStyle w:val="Odstavecseseznamem"/>
        <w:ind w:left="0"/>
        <w:jc w:val="both"/>
        <w:rPr>
          <w:rFonts w:ascii="Arial" w:hAnsi="Arial" w:cs="Arial"/>
          <w:bCs/>
          <w:sz w:val="22"/>
          <w:szCs w:val="22"/>
        </w:rPr>
      </w:pPr>
    </w:p>
    <w:p w:rsidR="000C7A00" w:rsidRPr="002F0C23" w:rsidRDefault="000C7A00" w:rsidP="000C7A00">
      <w:pPr>
        <w:jc w:val="both"/>
        <w:rPr>
          <w:rFonts w:ascii="Arial" w:hAnsi="Arial" w:cs="Arial"/>
          <w:color w:val="1F497D" w:themeColor="text2"/>
          <w:sz w:val="22"/>
          <w:szCs w:val="22"/>
          <w:u w:val="single"/>
        </w:rPr>
      </w:pPr>
      <w:r w:rsidRPr="002F0C23">
        <w:rPr>
          <w:rFonts w:ascii="Arial" w:hAnsi="Arial" w:cs="Arial"/>
          <w:color w:val="1F497D" w:themeColor="text2"/>
          <w:sz w:val="22"/>
          <w:szCs w:val="22"/>
          <w:u w:val="single"/>
        </w:rPr>
        <w:t>Odpověď k bodu č. 2:</w:t>
      </w:r>
    </w:p>
    <w:p w:rsidR="000C7A00" w:rsidRPr="002F0C23" w:rsidRDefault="000C7A00" w:rsidP="000C7A00">
      <w:pPr>
        <w:jc w:val="both"/>
        <w:rPr>
          <w:rStyle w:val="wobt"/>
          <w:rFonts w:ascii="Arial" w:hAnsi="Arial" w:cs="Arial"/>
          <w:color w:val="1F497D" w:themeColor="text2"/>
          <w:sz w:val="22"/>
          <w:szCs w:val="22"/>
        </w:rPr>
      </w:pPr>
      <w:r w:rsidRPr="002F0C23">
        <w:rPr>
          <w:rFonts w:ascii="Arial" w:hAnsi="Arial" w:cs="Arial"/>
          <w:color w:val="1F497D" w:themeColor="text2"/>
          <w:sz w:val="22"/>
          <w:szCs w:val="22"/>
        </w:rPr>
        <w:t xml:space="preserve">Zadavatel i nadále trvá na požadavku rozmezí provozních teplot od -20°C do +60°C. </w:t>
      </w:r>
      <w:r w:rsidRPr="002F0C23">
        <w:rPr>
          <w:rStyle w:val="wobt"/>
          <w:rFonts w:ascii="Arial" w:hAnsi="Arial" w:cs="Arial"/>
          <w:color w:val="1F497D" w:themeColor="text2"/>
          <w:sz w:val="22"/>
          <w:szCs w:val="22"/>
        </w:rPr>
        <w:t xml:space="preserve">Ve vztahu k tomuto požadavku zadavatel opětovně uvádí: Požadavek koresponduje s normou </w:t>
      </w:r>
      <w:r w:rsidRPr="002F0C23">
        <w:rPr>
          <w:rFonts w:ascii="Arial" w:hAnsi="Arial" w:cs="Arial"/>
          <w:color w:val="1F497D" w:themeColor="text2"/>
          <w:sz w:val="22"/>
          <w:szCs w:val="22"/>
        </w:rPr>
        <w:t>ČSN EN 334</w:t>
      </w:r>
      <w:r w:rsidRPr="002F0C23">
        <w:rPr>
          <w:rStyle w:val="wobt"/>
          <w:rFonts w:ascii="Arial" w:hAnsi="Arial" w:cs="Arial"/>
          <w:color w:val="1F497D" w:themeColor="text2"/>
          <w:sz w:val="22"/>
          <w:szCs w:val="22"/>
        </w:rPr>
        <w:t xml:space="preserve">. Konkrétní forma byla zvolena proto, že s ohledem na zamýšlené úspory energií RWE </w:t>
      </w:r>
      <w:proofErr w:type="spellStart"/>
      <w:r w:rsidRPr="002F0C23">
        <w:rPr>
          <w:rStyle w:val="wobt"/>
          <w:rFonts w:ascii="Arial" w:hAnsi="Arial" w:cs="Arial"/>
          <w:color w:val="1F497D" w:themeColor="text2"/>
          <w:sz w:val="22"/>
          <w:szCs w:val="22"/>
        </w:rPr>
        <w:t>GasNet</w:t>
      </w:r>
      <w:proofErr w:type="spellEnd"/>
      <w:r w:rsidRPr="002F0C23">
        <w:rPr>
          <w:rStyle w:val="wobt"/>
          <w:rFonts w:ascii="Arial" w:hAnsi="Arial" w:cs="Arial"/>
          <w:color w:val="1F497D" w:themeColor="text2"/>
          <w:sz w:val="22"/>
          <w:szCs w:val="22"/>
        </w:rPr>
        <w:t xml:space="preserve">, s.r.o. neprovádí předehřev plynu proudícího do regulátorů, a ze stejného důvodu netemperuje budovy regulačních stanic. Teplota uvnitř je tedy srovnatelná s venkovní. Navíc stejné regulátory jsou v rámci společnosti RWE </w:t>
      </w:r>
      <w:proofErr w:type="spellStart"/>
      <w:r w:rsidRPr="002F0C23">
        <w:rPr>
          <w:rStyle w:val="wobt"/>
          <w:rFonts w:ascii="Arial" w:hAnsi="Arial" w:cs="Arial"/>
          <w:color w:val="1F497D" w:themeColor="text2"/>
          <w:sz w:val="22"/>
          <w:szCs w:val="22"/>
        </w:rPr>
        <w:t>GasNet</w:t>
      </w:r>
      <w:proofErr w:type="spellEnd"/>
      <w:r w:rsidRPr="002F0C23">
        <w:rPr>
          <w:rStyle w:val="wobt"/>
          <w:rFonts w:ascii="Arial" w:hAnsi="Arial" w:cs="Arial"/>
          <w:color w:val="1F497D" w:themeColor="text2"/>
          <w:sz w:val="22"/>
          <w:szCs w:val="22"/>
        </w:rPr>
        <w:t xml:space="preserve">, s.r.o. osazovány v celé ČR, včetně horských oblastí, kde pokles teplot pod -10 °C lze v průběhu roku očekávat. V případě, že dodavatel regulační armatury teplotní rozmezí není schopen </w:t>
      </w:r>
      <w:r w:rsidRPr="002F0C23">
        <w:rPr>
          <w:rStyle w:val="wobt"/>
          <w:rFonts w:ascii="Arial" w:hAnsi="Arial" w:cs="Arial"/>
          <w:color w:val="1F497D" w:themeColor="text2"/>
          <w:sz w:val="22"/>
          <w:szCs w:val="22"/>
        </w:rPr>
        <w:lastRenderedPageBreak/>
        <w:t xml:space="preserve">garantovat, může následně z tohoto důvodu dojít k nefunkčnosti regulátoru, což by zapříčinilo přerušení dodávky zemního plynu zákazníkům až do doby odstranění poruchy, přičemž by bylo nezbytné fyzické uzavření všech plynovodních přípojek, odstranění poruchy, provedení odvzdušnění a teprve poté následné obnovení dodávek.  Shora uvedená praktická potřeba RWE </w:t>
      </w:r>
      <w:proofErr w:type="spellStart"/>
      <w:r w:rsidRPr="002F0C23">
        <w:rPr>
          <w:rStyle w:val="wobt"/>
          <w:rFonts w:ascii="Arial" w:hAnsi="Arial" w:cs="Arial"/>
          <w:color w:val="1F497D" w:themeColor="text2"/>
          <w:sz w:val="22"/>
          <w:szCs w:val="22"/>
        </w:rPr>
        <w:t>GasNet</w:t>
      </w:r>
      <w:proofErr w:type="spellEnd"/>
      <w:r w:rsidRPr="002F0C23">
        <w:rPr>
          <w:rStyle w:val="wobt"/>
          <w:rFonts w:ascii="Arial" w:hAnsi="Arial" w:cs="Arial"/>
          <w:color w:val="1F497D" w:themeColor="text2"/>
          <w:sz w:val="22"/>
          <w:szCs w:val="22"/>
        </w:rPr>
        <w:t>, s.r.o. je reflektována i na trhu, neboť kromě Vaší společnosti žádný další potenciální dodavatel nevznesl námitku tímto směrem.</w:t>
      </w:r>
    </w:p>
    <w:p w:rsidR="000C7A00" w:rsidRPr="002F0C23" w:rsidRDefault="000C7A00" w:rsidP="001C5399">
      <w:pPr>
        <w:pStyle w:val="Odstavecseseznamem"/>
        <w:ind w:left="0"/>
        <w:jc w:val="both"/>
        <w:rPr>
          <w:rFonts w:ascii="Arial" w:hAnsi="Arial" w:cs="Arial"/>
          <w:bCs/>
          <w:sz w:val="22"/>
          <w:szCs w:val="22"/>
        </w:rPr>
      </w:pPr>
    </w:p>
    <w:p w:rsidR="001C5399" w:rsidRPr="002F0C23" w:rsidRDefault="001C5399" w:rsidP="001C5399">
      <w:pPr>
        <w:jc w:val="both"/>
        <w:rPr>
          <w:rFonts w:ascii="Arial" w:hAnsi="Arial" w:cs="Arial"/>
          <w:bCs/>
          <w:sz w:val="22"/>
          <w:szCs w:val="22"/>
        </w:rPr>
      </w:pPr>
    </w:p>
    <w:p w:rsidR="001C5399" w:rsidRPr="002F0C23" w:rsidRDefault="00315AF2" w:rsidP="00315AF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2F0C23">
        <w:rPr>
          <w:rFonts w:ascii="Arial" w:hAnsi="Arial" w:cs="Arial"/>
          <w:b/>
          <w:bCs/>
          <w:sz w:val="22"/>
          <w:szCs w:val="22"/>
        </w:rPr>
        <w:t xml:space="preserve">BOD </w:t>
      </w:r>
      <w:proofErr w:type="gramStart"/>
      <w:r w:rsidRPr="002F0C23">
        <w:rPr>
          <w:rFonts w:ascii="Arial" w:hAnsi="Arial" w:cs="Arial"/>
          <w:b/>
          <w:bCs/>
          <w:sz w:val="22"/>
          <w:szCs w:val="22"/>
        </w:rPr>
        <w:t>9.4</w:t>
      </w:r>
      <w:r w:rsidRPr="002F0C23">
        <w:rPr>
          <w:rFonts w:ascii="Arial" w:hAnsi="Arial" w:cs="Arial"/>
          <w:bCs/>
          <w:sz w:val="22"/>
          <w:szCs w:val="22"/>
        </w:rPr>
        <w:t xml:space="preserve"> </w:t>
      </w:r>
      <w:r w:rsidR="001C5399" w:rsidRPr="002F0C23">
        <w:rPr>
          <w:rFonts w:ascii="Arial" w:hAnsi="Arial" w:cs="Arial"/>
          <w:b/>
          <w:bCs/>
          <w:sz w:val="22"/>
          <w:szCs w:val="22"/>
        </w:rPr>
        <w:t xml:space="preserve"> </w:t>
      </w:r>
      <w:r w:rsidR="002F0C23">
        <w:rPr>
          <w:rFonts w:ascii="Arial" w:hAnsi="Arial" w:cs="Arial"/>
          <w:b/>
          <w:bCs/>
          <w:sz w:val="22"/>
          <w:szCs w:val="22"/>
        </w:rPr>
        <w:t>K</w:t>
      </w:r>
      <w:r w:rsidR="001C5399" w:rsidRPr="002F0C23">
        <w:rPr>
          <w:rFonts w:ascii="Arial" w:hAnsi="Arial" w:cs="Arial"/>
          <w:b/>
          <w:bCs/>
          <w:sz w:val="22"/>
          <w:szCs w:val="22"/>
        </w:rPr>
        <w:t>valifikační</w:t>
      </w:r>
      <w:proofErr w:type="gramEnd"/>
      <w:r w:rsidR="001C5399" w:rsidRPr="002F0C23">
        <w:rPr>
          <w:rFonts w:ascii="Arial" w:hAnsi="Arial" w:cs="Arial"/>
          <w:b/>
          <w:bCs/>
          <w:sz w:val="22"/>
          <w:szCs w:val="22"/>
        </w:rPr>
        <w:t xml:space="preserve"> dokumentace</w:t>
      </w:r>
    </w:p>
    <w:p w:rsidR="001C5399" w:rsidRPr="002F0C23" w:rsidRDefault="001C5399" w:rsidP="001C5399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</w:p>
    <w:p w:rsidR="001C5399" w:rsidRPr="002F0C23" w:rsidRDefault="001C5399" w:rsidP="001C53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F0C23">
        <w:rPr>
          <w:rFonts w:ascii="Arial" w:hAnsi="Arial" w:cs="Arial"/>
          <w:bCs/>
          <w:sz w:val="22"/>
          <w:szCs w:val="22"/>
        </w:rPr>
        <w:t>Máme výhrady k celému tomuto bodu (obdobně je formulován i v návrhu KS) – rozsah školení by měl být nějakým způsobem vázaný na počet dodaných armatur/finančním objemem dodávky. Může nastat případ, že v rámci VŘ si RWE odebere od naší společnosti pouze 1 ks armatury a my se podpisem pod touto formulací zavážeme, že budeme 30 let bezplatně školit jejich pracovníky.</w:t>
      </w:r>
    </w:p>
    <w:p w:rsidR="001C5399" w:rsidRPr="002F0C23" w:rsidRDefault="001C5399" w:rsidP="001C53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F0C23">
        <w:rPr>
          <w:rFonts w:ascii="Arial" w:hAnsi="Arial" w:cs="Arial"/>
          <w:bCs/>
          <w:sz w:val="22"/>
          <w:szCs w:val="22"/>
        </w:rPr>
        <w:t xml:space="preserve">Samozřejmě jsme připraveni odborná školení a tréninky na námi dodávané armatury realizovat (a i v minulosti tomu tak vždy bylo), ale měly by být nastaveny rozumné oboustranně akceptovatelné podmínky.  </w:t>
      </w:r>
    </w:p>
    <w:p w:rsidR="00315AF2" w:rsidRPr="002F0C23" w:rsidRDefault="00315AF2" w:rsidP="001C53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0C7A00" w:rsidRPr="002F0C23" w:rsidRDefault="000C7A00" w:rsidP="000C7A00">
      <w:pPr>
        <w:jc w:val="both"/>
        <w:rPr>
          <w:rFonts w:ascii="Arial" w:hAnsi="Arial" w:cs="Arial"/>
          <w:color w:val="1F497D" w:themeColor="text2"/>
          <w:sz w:val="22"/>
          <w:szCs w:val="22"/>
          <w:u w:val="single"/>
        </w:rPr>
      </w:pPr>
      <w:r w:rsidRPr="002F0C23">
        <w:rPr>
          <w:rFonts w:ascii="Arial" w:hAnsi="Arial" w:cs="Arial"/>
          <w:color w:val="1F497D" w:themeColor="text2"/>
          <w:sz w:val="22"/>
          <w:szCs w:val="22"/>
          <w:u w:val="single"/>
        </w:rPr>
        <w:t>Odpověď k bodu č. 3:</w:t>
      </w:r>
    </w:p>
    <w:p w:rsidR="000C7A00" w:rsidRPr="002F0C23" w:rsidRDefault="000C7A00" w:rsidP="000C7A00">
      <w:pPr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2F0C23">
        <w:rPr>
          <w:rFonts w:ascii="Arial" w:hAnsi="Arial" w:cs="Arial"/>
          <w:color w:val="1F497D" w:themeColor="text2"/>
          <w:sz w:val="22"/>
          <w:szCs w:val="22"/>
        </w:rPr>
        <w:t xml:space="preserve">Zadavatel uvádí, že v upraveném závazném návrhu </w:t>
      </w:r>
      <w:r w:rsidR="003C0F8B" w:rsidRPr="002F0C23">
        <w:rPr>
          <w:rFonts w:ascii="Arial" w:hAnsi="Arial" w:cs="Arial"/>
          <w:color w:val="1F497D" w:themeColor="text2"/>
          <w:sz w:val="22"/>
          <w:szCs w:val="22"/>
        </w:rPr>
        <w:t>smlouvy</w:t>
      </w:r>
      <w:r w:rsidRPr="002F0C23">
        <w:rPr>
          <w:rFonts w:ascii="Arial" w:hAnsi="Arial" w:cs="Arial"/>
          <w:color w:val="1F497D" w:themeColor="text2"/>
          <w:sz w:val="22"/>
          <w:szCs w:val="22"/>
        </w:rPr>
        <w:t xml:space="preserve"> se stanoví, že doba účinnosti této smlouvy končí k </w:t>
      </w:r>
      <w:proofErr w:type="gramStart"/>
      <w:r w:rsidRPr="002F0C23">
        <w:rPr>
          <w:rFonts w:ascii="Arial" w:hAnsi="Arial" w:cs="Arial"/>
          <w:color w:val="1F497D" w:themeColor="text2"/>
          <w:sz w:val="22"/>
          <w:szCs w:val="22"/>
        </w:rPr>
        <w:t>31.12.2017</w:t>
      </w:r>
      <w:proofErr w:type="gramEnd"/>
      <w:r w:rsidRPr="002F0C23">
        <w:rPr>
          <w:rFonts w:ascii="Arial" w:hAnsi="Arial" w:cs="Arial"/>
          <w:color w:val="1F497D" w:themeColor="text2"/>
          <w:sz w:val="22"/>
          <w:szCs w:val="22"/>
        </w:rPr>
        <w:t xml:space="preserve">. Z tohoto ustanovení lze dovodit, že zadavatel nebude oprávněn po uplynutí doby účinnosti smlouvy na realizaci veřejné zakázky požadovat po dodavateli jakákoli další školení. Ve vztahu k argumentu o tom, že </w:t>
      </w:r>
      <w:r w:rsidR="003C0F8B" w:rsidRPr="002F0C23">
        <w:rPr>
          <w:rFonts w:ascii="Arial" w:hAnsi="Arial" w:cs="Arial"/>
          <w:color w:val="1F497D" w:themeColor="text2"/>
          <w:sz w:val="22"/>
          <w:szCs w:val="22"/>
        </w:rPr>
        <w:t xml:space="preserve">zadavatel </w:t>
      </w:r>
      <w:r w:rsidRPr="002F0C23">
        <w:rPr>
          <w:rFonts w:ascii="Arial" w:hAnsi="Arial" w:cs="Arial"/>
          <w:color w:val="1F497D" w:themeColor="text2"/>
          <w:sz w:val="22"/>
          <w:szCs w:val="22"/>
        </w:rPr>
        <w:t>teoreticky nemusí ani na základě uzavřené smlouvy poptat žádnou armaturu, avšak povinnost poskytnout bezplatné školení je tímto nedotčena (což by mělo negativní ekonomický dopad na dodavatele</w:t>
      </w:r>
      <w:r w:rsidR="003C0F8B" w:rsidRPr="002F0C23">
        <w:rPr>
          <w:rFonts w:ascii="Arial" w:hAnsi="Arial" w:cs="Arial"/>
          <w:color w:val="1F497D" w:themeColor="text2"/>
          <w:sz w:val="22"/>
          <w:szCs w:val="22"/>
        </w:rPr>
        <w:t>)</w:t>
      </w:r>
      <w:r w:rsidRPr="002F0C23">
        <w:rPr>
          <w:rFonts w:ascii="Arial" w:hAnsi="Arial" w:cs="Arial"/>
          <w:color w:val="1F497D" w:themeColor="text2"/>
          <w:sz w:val="22"/>
          <w:szCs w:val="22"/>
        </w:rPr>
        <w:t>, uvádí, že v novém znění závazného návrhu smlouvy zadavatel odkoupí od dodavatele ke konci účinnosti smlouvy všechny regulátory, které je dle jejího čl. VI. odst. 3 povinen držet na skladě. Nelze tedy z uvedeného smluvního ustanovení, které se objevuje i v Kvalifikační dokumentaci dovodit, že by zadavatel vyžadoval na základě smlouvy plnění, jejichž hodnota je vzájemně nepřiměřená. Ve vztahu k požadavku na školení zadavatel předpokládá vzájemnou dohodu smluvních stran s ohledem na skutečnou potřebu školení v průběhu platnosti smlouvy. V této souvislosti zadavatel upravuje závazný návrh smlouvy tak, že věta v čl. X. odst. 1 smlouvy, která zní: „V případě potřeby Prodávající zajistí Kupujícímu potřebné prostory a nezbytnou součinnost.“ se opravuje na následující znění: „V případě potřeby Kupující zajistí Prodávajícímu potřebné prostory a nezbytnou součinnost.“</w:t>
      </w:r>
    </w:p>
    <w:p w:rsidR="000C7A00" w:rsidRPr="002F0C23" w:rsidRDefault="000C7A00" w:rsidP="001C53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315AF2" w:rsidRPr="002F0C23" w:rsidRDefault="001C5399" w:rsidP="00315AF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2F0C23">
        <w:rPr>
          <w:rFonts w:ascii="Arial" w:hAnsi="Arial" w:cs="Arial"/>
          <w:b/>
          <w:bCs/>
          <w:sz w:val="22"/>
          <w:szCs w:val="22"/>
        </w:rPr>
        <w:t>BOD 9.5</w:t>
      </w:r>
      <w:r w:rsidR="00315AF2" w:rsidRPr="002F0C23">
        <w:rPr>
          <w:rFonts w:ascii="Arial" w:hAnsi="Arial" w:cs="Arial"/>
          <w:b/>
          <w:bCs/>
          <w:sz w:val="22"/>
          <w:szCs w:val="22"/>
        </w:rPr>
        <w:t xml:space="preserve"> </w:t>
      </w:r>
      <w:r w:rsidR="002F0C23">
        <w:rPr>
          <w:rFonts w:ascii="Arial" w:hAnsi="Arial" w:cs="Arial"/>
          <w:b/>
          <w:bCs/>
          <w:sz w:val="22"/>
          <w:szCs w:val="22"/>
        </w:rPr>
        <w:t>K</w:t>
      </w:r>
      <w:r w:rsidR="00315AF2" w:rsidRPr="002F0C23">
        <w:rPr>
          <w:rFonts w:ascii="Arial" w:hAnsi="Arial" w:cs="Arial"/>
          <w:b/>
          <w:bCs/>
          <w:sz w:val="22"/>
          <w:szCs w:val="22"/>
        </w:rPr>
        <w:t>valifikační dokumentace</w:t>
      </w:r>
    </w:p>
    <w:p w:rsidR="001C5399" w:rsidRPr="002F0C23" w:rsidRDefault="001C5399" w:rsidP="001C53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F0C23">
        <w:rPr>
          <w:rFonts w:ascii="Arial" w:hAnsi="Arial" w:cs="Arial"/>
          <w:bCs/>
          <w:sz w:val="22"/>
          <w:szCs w:val="22"/>
        </w:rPr>
        <w:t xml:space="preserve"> Máme výhrady k této větě:  </w:t>
      </w:r>
      <w:r w:rsidRPr="002F0C23">
        <w:rPr>
          <w:rFonts w:ascii="Arial" w:hAnsi="Arial" w:cs="Arial"/>
          <w:bCs/>
          <w:i/>
          <w:sz w:val="22"/>
          <w:szCs w:val="22"/>
        </w:rPr>
        <w:t xml:space="preserve">Zadavatel požaduje zajištění bezplatných poradenských, konzultačních, </w:t>
      </w:r>
      <w:r w:rsidRPr="002F0C23">
        <w:rPr>
          <w:rFonts w:ascii="Arial" w:hAnsi="Arial" w:cs="Arial"/>
          <w:bCs/>
          <w:i/>
          <w:color w:val="FF0000"/>
          <w:sz w:val="22"/>
          <w:szCs w:val="22"/>
        </w:rPr>
        <w:t>poprodejních a servisních</w:t>
      </w:r>
      <w:r w:rsidRPr="002F0C23">
        <w:rPr>
          <w:rFonts w:ascii="Arial" w:hAnsi="Arial" w:cs="Arial"/>
          <w:bCs/>
          <w:i/>
          <w:sz w:val="22"/>
          <w:szCs w:val="22"/>
        </w:rPr>
        <w:t xml:space="preserve"> služeb po celou dobu životnosti (min 30 let).</w:t>
      </w:r>
      <w:r w:rsidRPr="002F0C23">
        <w:rPr>
          <w:rFonts w:ascii="Arial" w:hAnsi="Arial" w:cs="Arial"/>
          <w:bCs/>
          <w:sz w:val="22"/>
          <w:szCs w:val="22"/>
        </w:rPr>
        <w:t xml:space="preserve">  Doporučujeme z této věty vyjmout slova </w:t>
      </w:r>
      <w:r w:rsidRPr="002F0C23">
        <w:rPr>
          <w:rFonts w:ascii="Arial" w:hAnsi="Arial" w:cs="Arial"/>
          <w:b/>
          <w:bCs/>
          <w:sz w:val="22"/>
          <w:szCs w:val="22"/>
        </w:rPr>
        <w:t xml:space="preserve">poprodejní a servisní. </w:t>
      </w:r>
      <w:r w:rsidRPr="002F0C23">
        <w:rPr>
          <w:rFonts w:ascii="Arial" w:hAnsi="Arial" w:cs="Arial"/>
          <w:bCs/>
          <w:sz w:val="22"/>
          <w:szCs w:val="22"/>
        </w:rPr>
        <w:t xml:space="preserve"> Poradenskou, konzultační činnost zajišťujeme zdarma po celou dobu existence naší společnosti a ani do budoucna nepředpokládáme že, tomu bude jinak. Pod slovem poprodejní a servisní činnost si je možné představit celou řadu činností, včetně různých servisních zásahů po ukončení záruční lhůty, což je ve spojení se slovem bezplatné pro naši společnost, stejně tak i pro výrobce nabízených armatur, neakceptovatelné. Co se týká servisní činnosti, standardně je zdarma servis provedený v rámci záruky a s uznanou reklamací. </w:t>
      </w:r>
    </w:p>
    <w:p w:rsidR="001C5399" w:rsidRPr="002F0C23" w:rsidRDefault="001C5399" w:rsidP="001C5399">
      <w:pPr>
        <w:jc w:val="both"/>
        <w:rPr>
          <w:rFonts w:ascii="Arial" w:hAnsi="Arial" w:cs="Arial"/>
          <w:bCs/>
          <w:sz w:val="22"/>
          <w:szCs w:val="22"/>
        </w:rPr>
      </w:pPr>
    </w:p>
    <w:p w:rsidR="002F0C23" w:rsidRPr="002F0C23" w:rsidRDefault="002F0C23" w:rsidP="002F0C23">
      <w:pPr>
        <w:jc w:val="both"/>
        <w:rPr>
          <w:rFonts w:ascii="Arial" w:hAnsi="Arial" w:cs="Arial"/>
          <w:color w:val="1F497D" w:themeColor="text2"/>
          <w:sz w:val="22"/>
          <w:szCs w:val="22"/>
          <w:u w:val="single"/>
        </w:rPr>
      </w:pPr>
      <w:r w:rsidRPr="002F0C23">
        <w:rPr>
          <w:rFonts w:ascii="Arial" w:hAnsi="Arial" w:cs="Arial"/>
          <w:color w:val="1F497D" w:themeColor="text2"/>
          <w:sz w:val="22"/>
          <w:szCs w:val="22"/>
          <w:u w:val="single"/>
        </w:rPr>
        <w:t xml:space="preserve">Odpověď k bodu č. </w:t>
      </w:r>
      <w:r>
        <w:rPr>
          <w:rFonts w:ascii="Arial" w:hAnsi="Arial" w:cs="Arial"/>
          <w:color w:val="1F497D" w:themeColor="text2"/>
          <w:sz w:val="22"/>
          <w:szCs w:val="22"/>
          <w:u w:val="single"/>
        </w:rPr>
        <w:t>4</w:t>
      </w:r>
      <w:r w:rsidRPr="002F0C23">
        <w:rPr>
          <w:rFonts w:ascii="Arial" w:hAnsi="Arial" w:cs="Arial"/>
          <w:color w:val="1F497D" w:themeColor="text2"/>
          <w:sz w:val="22"/>
          <w:szCs w:val="22"/>
          <w:u w:val="single"/>
        </w:rPr>
        <w:t>:</w:t>
      </w:r>
    </w:p>
    <w:p w:rsidR="000C7A00" w:rsidRPr="002F0C23" w:rsidRDefault="000C7A00" w:rsidP="000C7A00">
      <w:pPr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2F0C23">
        <w:rPr>
          <w:rFonts w:ascii="Arial" w:hAnsi="Arial" w:cs="Arial"/>
          <w:color w:val="1F497D" w:themeColor="text2"/>
          <w:sz w:val="22"/>
          <w:szCs w:val="22"/>
        </w:rPr>
        <w:t xml:space="preserve">Zadavatel s požadavkem souhlasí. </w:t>
      </w:r>
      <w:r w:rsidR="003C0F8B" w:rsidRPr="002F0C23">
        <w:rPr>
          <w:rFonts w:ascii="Arial" w:hAnsi="Arial" w:cs="Arial"/>
          <w:color w:val="1F497D" w:themeColor="text2"/>
          <w:sz w:val="22"/>
          <w:szCs w:val="22"/>
        </w:rPr>
        <w:t xml:space="preserve">V závazném návrhu smlouvy (čl. X odst. 1) bude poslední věta znít po úpravě takto: „Zároveň se prodávající zavazuje, že bude poskytovat na žádost </w:t>
      </w:r>
      <w:r w:rsidR="003C0F8B" w:rsidRPr="002F0C23">
        <w:rPr>
          <w:rFonts w:ascii="Arial" w:hAnsi="Arial" w:cs="Arial"/>
          <w:color w:val="1F497D" w:themeColor="text2"/>
          <w:sz w:val="22"/>
          <w:szCs w:val="22"/>
        </w:rPr>
        <w:lastRenderedPageBreak/>
        <w:t xml:space="preserve">Kupujícího bezplatně poradenské a konzultační služby po celou dobu životnosti Zboží (min. 30 let). </w:t>
      </w:r>
      <w:r w:rsidRPr="002F0C23">
        <w:rPr>
          <w:rFonts w:ascii="Arial" w:hAnsi="Arial" w:cs="Arial"/>
          <w:color w:val="1F497D" w:themeColor="text2"/>
          <w:sz w:val="22"/>
          <w:szCs w:val="22"/>
        </w:rPr>
        <w:t xml:space="preserve">V bodě 9.5 Kvalifikační dokumentace </w:t>
      </w:r>
      <w:r w:rsidR="003C0F8B" w:rsidRPr="002F0C23">
        <w:rPr>
          <w:rFonts w:ascii="Arial" w:hAnsi="Arial" w:cs="Arial"/>
          <w:color w:val="1F497D" w:themeColor="text2"/>
          <w:sz w:val="22"/>
          <w:szCs w:val="22"/>
        </w:rPr>
        <w:t>bude tato změna promítnuta.</w:t>
      </w:r>
    </w:p>
    <w:p w:rsidR="000C7A00" w:rsidRPr="002F0C23" w:rsidRDefault="000C7A00" w:rsidP="000C7A00">
      <w:pPr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2F0C23">
        <w:rPr>
          <w:rFonts w:ascii="Arial" w:hAnsi="Arial" w:cs="Arial"/>
          <w:color w:val="1F497D" w:themeColor="text2"/>
          <w:sz w:val="22"/>
          <w:szCs w:val="22"/>
        </w:rPr>
        <w:t> </w:t>
      </w:r>
    </w:p>
    <w:p w:rsidR="000C7A00" w:rsidRPr="002F0C23" w:rsidRDefault="000C7A00" w:rsidP="001C5399">
      <w:pPr>
        <w:jc w:val="both"/>
        <w:rPr>
          <w:rFonts w:ascii="Arial" w:hAnsi="Arial" w:cs="Arial"/>
          <w:bCs/>
          <w:sz w:val="22"/>
          <w:szCs w:val="22"/>
        </w:rPr>
      </w:pPr>
    </w:p>
    <w:p w:rsidR="001C5399" w:rsidRPr="002F0C23" w:rsidRDefault="001C5399" w:rsidP="000C7A00">
      <w:pPr>
        <w:pStyle w:val="Odstavecseseznamem"/>
        <w:numPr>
          <w:ilvl w:val="0"/>
          <w:numId w:val="1"/>
        </w:num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2F0C23">
        <w:rPr>
          <w:rFonts w:ascii="Arial" w:hAnsi="Arial" w:cs="Arial"/>
          <w:b/>
          <w:bCs/>
          <w:sz w:val="22"/>
          <w:szCs w:val="22"/>
        </w:rPr>
        <w:t xml:space="preserve">Návrh KS </w:t>
      </w:r>
      <w:r w:rsidR="00315AF2" w:rsidRPr="002F0C23">
        <w:rPr>
          <w:rFonts w:ascii="Arial" w:hAnsi="Arial" w:cs="Arial"/>
          <w:b/>
          <w:bCs/>
          <w:sz w:val="22"/>
          <w:szCs w:val="22"/>
        </w:rPr>
        <w:t>bod IV. Cena a platební podmínky</w:t>
      </w:r>
    </w:p>
    <w:p w:rsidR="001C5399" w:rsidRPr="002F0C23" w:rsidRDefault="001C5399" w:rsidP="001C539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2F0C23">
        <w:rPr>
          <w:rFonts w:ascii="Arial" w:hAnsi="Arial" w:cs="Arial"/>
          <w:b/>
          <w:bCs/>
          <w:sz w:val="22"/>
          <w:szCs w:val="22"/>
        </w:rPr>
        <w:t xml:space="preserve"> </w:t>
      </w:r>
      <w:r w:rsidRPr="002F0C23">
        <w:rPr>
          <w:rFonts w:ascii="Arial" w:hAnsi="Arial" w:cs="Arial"/>
          <w:bCs/>
          <w:sz w:val="22"/>
          <w:szCs w:val="22"/>
        </w:rPr>
        <w:t>(jednotlivé dotazy jsou pro větší přehled podtrženy)</w:t>
      </w:r>
    </w:p>
    <w:p w:rsidR="001C5399" w:rsidRPr="002F0C23" w:rsidRDefault="001C5399" w:rsidP="001C53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F0C23">
        <w:rPr>
          <w:rFonts w:ascii="Arial" w:hAnsi="Arial" w:cs="Arial"/>
          <w:bCs/>
          <w:sz w:val="22"/>
          <w:szCs w:val="22"/>
          <w:u w:val="single"/>
        </w:rPr>
        <w:t xml:space="preserve">Na základě jakých skutečností je v návrhu KS splatnost prodloužena oproti původnímu návrhu </w:t>
      </w:r>
      <w:proofErr w:type="gramStart"/>
      <w:r w:rsidRPr="002F0C23">
        <w:rPr>
          <w:rFonts w:ascii="Arial" w:hAnsi="Arial" w:cs="Arial"/>
          <w:bCs/>
          <w:sz w:val="22"/>
          <w:szCs w:val="22"/>
          <w:u w:val="single"/>
        </w:rPr>
        <w:t>ze</w:t>
      </w:r>
      <w:proofErr w:type="gramEnd"/>
      <w:r w:rsidRPr="002F0C23">
        <w:rPr>
          <w:rFonts w:ascii="Arial" w:hAnsi="Arial" w:cs="Arial"/>
          <w:bCs/>
          <w:sz w:val="22"/>
          <w:szCs w:val="22"/>
          <w:u w:val="single"/>
        </w:rPr>
        <w:t xml:space="preserve"> 30 dnů na 60?</w:t>
      </w:r>
      <w:r w:rsidRPr="002F0C23">
        <w:rPr>
          <w:rFonts w:ascii="Arial" w:hAnsi="Arial" w:cs="Arial"/>
          <w:bCs/>
          <w:sz w:val="22"/>
          <w:szCs w:val="22"/>
        </w:rPr>
        <w:t xml:space="preserve">  Vzhledem k tomu, že smlouva stanovuje povinnost pro Prodávajícího mít na skladě náhradní armatury a příslušné náhradní díly, čímž dochází k vázání nemalých finančních prostředků, žádáme o přehodnocení tohoto požadavku na kratší splatnost.</w:t>
      </w:r>
    </w:p>
    <w:p w:rsidR="000C7A00" w:rsidRPr="002F0C23" w:rsidRDefault="000C7A00" w:rsidP="001C5399">
      <w:pPr>
        <w:spacing w:before="120"/>
        <w:jc w:val="both"/>
        <w:rPr>
          <w:rFonts w:ascii="Arial" w:hAnsi="Arial" w:cs="Arial"/>
          <w:bCs/>
          <w:color w:val="1F497D" w:themeColor="text2"/>
          <w:sz w:val="22"/>
          <w:szCs w:val="22"/>
        </w:rPr>
      </w:pPr>
    </w:p>
    <w:p w:rsidR="002F0C23" w:rsidRPr="002F0C23" w:rsidRDefault="002F0C23" w:rsidP="002F0C23">
      <w:pPr>
        <w:jc w:val="both"/>
        <w:rPr>
          <w:rFonts w:ascii="Arial" w:hAnsi="Arial" w:cs="Arial"/>
          <w:color w:val="1F497D" w:themeColor="text2"/>
          <w:sz w:val="22"/>
          <w:szCs w:val="22"/>
          <w:u w:val="single"/>
        </w:rPr>
      </w:pPr>
      <w:r w:rsidRPr="002F0C23">
        <w:rPr>
          <w:rFonts w:ascii="Arial" w:hAnsi="Arial" w:cs="Arial"/>
          <w:color w:val="1F497D" w:themeColor="text2"/>
          <w:sz w:val="22"/>
          <w:szCs w:val="22"/>
          <w:u w:val="single"/>
        </w:rPr>
        <w:t xml:space="preserve">Odpověď k bodu č. </w:t>
      </w:r>
      <w:r>
        <w:rPr>
          <w:rFonts w:ascii="Arial" w:hAnsi="Arial" w:cs="Arial"/>
          <w:color w:val="1F497D" w:themeColor="text2"/>
          <w:sz w:val="22"/>
          <w:szCs w:val="22"/>
          <w:u w:val="single"/>
        </w:rPr>
        <w:t>5</w:t>
      </w:r>
      <w:r w:rsidRPr="002F0C23">
        <w:rPr>
          <w:rFonts w:ascii="Arial" w:hAnsi="Arial" w:cs="Arial"/>
          <w:color w:val="1F497D" w:themeColor="text2"/>
          <w:sz w:val="22"/>
          <w:szCs w:val="22"/>
          <w:u w:val="single"/>
        </w:rPr>
        <w:t>:</w:t>
      </w:r>
    </w:p>
    <w:p w:rsidR="000C7A00" w:rsidRPr="002F0C23" w:rsidRDefault="000C7A00" w:rsidP="003C0F8B">
      <w:pPr>
        <w:jc w:val="both"/>
        <w:rPr>
          <w:rFonts w:ascii="Arial" w:hAnsi="Arial" w:cs="Arial"/>
          <w:b/>
          <w:bCs/>
          <w:color w:val="1F497D" w:themeColor="text2"/>
          <w:sz w:val="22"/>
          <w:szCs w:val="22"/>
        </w:rPr>
      </w:pPr>
      <w:r w:rsidRPr="002F0C23">
        <w:rPr>
          <w:rFonts w:ascii="Arial" w:hAnsi="Arial" w:cs="Arial"/>
          <w:color w:val="1F497D" w:themeColor="text2"/>
          <w:sz w:val="22"/>
          <w:szCs w:val="22"/>
        </w:rPr>
        <w:t>Splatnost byla prodloužena na základě rozhodnutí vedení společnosti zadavatele. Zadavatel na tomto požadavku trvá</w:t>
      </w:r>
      <w:r w:rsidR="003C0F8B" w:rsidRPr="002F0C23">
        <w:rPr>
          <w:rFonts w:ascii="Arial" w:hAnsi="Arial" w:cs="Arial"/>
          <w:color w:val="1F497D" w:themeColor="text2"/>
          <w:sz w:val="22"/>
          <w:szCs w:val="22"/>
        </w:rPr>
        <w:t xml:space="preserve">. </w:t>
      </w:r>
    </w:p>
    <w:p w:rsidR="001C5399" w:rsidRPr="002F0C23" w:rsidRDefault="00315AF2" w:rsidP="000C7A00">
      <w:pPr>
        <w:pStyle w:val="Odstavecseseznamem"/>
        <w:numPr>
          <w:ilvl w:val="0"/>
          <w:numId w:val="1"/>
        </w:num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2F0C23">
        <w:rPr>
          <w:rFonts w:ascii="Arial" w:hAnsi="Arial" w:cs="Arial"/>
          <w:b/>
          <w:bCs/>
          <w:sz w:val="22"/>
          <w:szCs w:val="22"/>
        </w:rPr>
        <w:t xml:space="preserve">Návrh KS </w:t>
      </w:r>
      <w:r w:rsidR="001C5399" w:rsidRPr="002F0C23">
        <w:rPr>
          <w:rFonts w:ascii="Arial" w:hAnsi="Arial" w:cs="Arial"/>
          <w:b/>
          <w:bCs/>
          <w:sz w:val="22"/>
          <w:szCs w:val="22"/>
        </w:rPr>
        <w:t xml:space="preserve">bod VI. Dodací podmínky </w:t>
      </w:r>
    </w:p>
    <w:p w:rsidR="001C5399" w:rsidRPr="002F0C23" w:rsidRDefault="001C5399" w:rsidP="001C53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F0C23">
        <w:rPr>
          <w:rFonts w:ascii="Arial" w:hAnsi="Arial" w:cs="Arial"/>
          <w:bCs/>
          <w:sz w:val="22"/>
          <w:szCs w:val="22"/>
        </w:rPr>
        <w:t xml:space="preserve">na úvod první dotaz: </w:t>
      </w:r>
      <w:r w:rsidRPr="002F0C23">
        <w:rPr>
          <w:rFonts w:ascii="Arial" w:hAnsi="Arial" w:cs="Arial"/>
          <w:bCs/>
          <w:sz w:val="22"/>
          <w:szCs w:val="22"/>
          <w:u w:val="single"/>
        </w:rPr>
        <w:t>Na základě jakých skutečností byla stanovena dodací lhůta pro sestavy armatur pro STL RS 1200, VTL RS 1200, 2000 a 4000 na 13 pracovních dnů? Vychází se snad z nějakého průzkumu u výrobců regulační techniky pro plynárenství?</w:t>
      </w:r>
      <w:r w:rsidRPr="002F0C23">
        <w:rPr>
          <w:rFonts w:ascii="Arial" w:hAnsi="Arial" w:cs="Arial"/>
          <w:bCs/>
          <w:sz w:val="22"/>
          <w:szCs w:val="22"/>
        </w:rPr>
        <w:t xml:space="preserve"> Jsme přesvědčení, že tomu tak nebylo - z reakcí, které jsme si přečetli v rámci dotazů a odpovědí č. 1 – 5 je jasné, že tyto dodací lhůty jsou nereálné minimálně pro dvě společnosti, které se chtějí VŘ zúčastnit. I pro nás, kteří zastupujeme společnost EMERSON, jsou požadované lhůty pro výrobu a dodávku armatur za daných podmínek nesplnitelné. I na obyčejný automobil ŠKODA, který si u dealera vyberete podle svých nároků a požadavků, se čeká 5 měsíců a v některých případech i déle. A to se jedná o produkty vyráběné v nesrovnatelně vyšších sériích ve srovnání s výrobou regulátorů tlaku.   </w:t>
      </w:r>
    </w:p>
    <w:p w:rsidR="001C5399" w:rsidRPr="002F0C23" w:rsidRDefault="001C5399" w:rsidP="001C53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F0C23">
        <w:rPr>
          <w:rFonts w:ascii="Arial" w:hAnsi="Arial" w:cs="Arial"/>
          <w:bCs/>
          <w:sz w:val="22"/>
          <w:szCs w:val="22"/>
        </w:rPr>
        <w:t xml:space="preserve">Za 13 dnů nelze ve standardně fungujícím výrobním závodě vyrobit odzkoušet a dodat tak specifický výrobek, jako je regulátor tlaku/ bezpečnostní rychlouzávěr. Dnes již žádný renomovaný výrobce na sklad nevyrábí. Jednak je k tomu z velké části vedou ekonomické důvody, ale zároveň jsou to i kritéria udržení provozní spolehlivosti a bezpečnosti dodávaných armatur. Všechny regulační a bezpečnostní armatury obsahují tzv. měkké části vyrobené ze speciálních směsí odolných vůči působení látek, které jsou obsaženy v zemním plynu. I proto je většina těchto dílů při dlouhodobém skladování umístěna v atmosféře, která se tomuto prostředí z chemického hlediska podobá (např. sady ND pro regulátory tlaku). Při delším skladování v obyčejné atmosféře dochází ke zrychlenému stárnutí membrán, těsnících disků, O-kroužků apod.  </w:t>
      </w:r>
    </w:p>
    <w:p w:rsidR="001C5399" w:rsidRPr="002F0C23" w:rsidRDefault="001C5399" w:rsidP="001C53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F0C23">
        <w:rPr>
          <w:rFonts w:ascii="Arial" w:hAnsi="Arial" w:cs="Arial"/>
          <w:bCs/>
          <w:sz w:val="22"/>
          <w:szCs w:val="22"/>
        </w:rPr>
        <w:t>Můžeme jen potvrdit, že standardní dodací lhůty těchto armatur se opravdu pohybují ve lhůtách tak, jak jsou popsány v dotazech a odpovědích zmíněných zájemců o účast ve VŘ. A s tímto faktem by měli pracovníci RWE odpovědní za stanovení podmínek pro dodavatele kalkulovat. Pokud je opravdu nezbytně nutné dodací termíny zkrátit, je pro nás (a zřejmě i ostatní dodavatele) akceptovatelné realizovat objednávky do výroby s předstihem, na základě vzájemně (RWE-Prodávající) odsouhlaseného harmonogramu s požadavky na pořízení armatur. Obdobný návrh je formulován jedním se zájemců o VŘ v dotazu č. 5 bod 5.</w:t>
      </w:r>
    </w:p>
    <w:p w:rsidR="001C5399" w:rsidRPr="002F0C23" w:rsidRDefault="001C5399" w:rsidP="001C53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F0C23">
        <w:rPr>
          <w:rFonts w:ascii="Arial" w:hAnsi="Arial" w:cs="Arial"/>
          <w:bCs/>
          <w:sz w:val="22"/>
          <w:szCs w:val="22"/>
        </w:rPr>
        <w:t xml:space="preserve">Dalším sporným bodem je držení patřičného počtu armatur pro každý typ RS. S ohledem na fakt, že je VŘ vypisováno jen na velmi krátkou dobu – 3 roky, měl by být tento požadavek spojen se závazkem Kupujícího tyto armatury po ukončení plnění předmětu VŘ odebrat, pokud se je nepodaří prodat v rámci plnění předmětu VŘ. </w:t>
      </w:r>
    </w:p>
    <w:p w:rsidR="001C5399" w:rsidRPr="002F0C23" w:rsidRDefault="001C5399" w:rsidP="001C53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F0C23">
        <w:rPr>
          <w:rFonts w:ascii="Arial" w:hAnsi="Arial" w:cs="Arial"/>
          <w:bCs/>
          <w:sz w:val="22"/>
          <w:szCs w:val="22"/>
        </w:rPr>
        <w:t xml:space="preserve">Ve smlouvě je specifikován požadavek držet 2 kompletní sady pro záložní a 2 pro provozní řady. Asi se nikdo nezabýval tím, že např. u VTL RS budou jistě požadovány armatury jak na výstupní tlak 1 bar, tak i na výstupní tlak 3(4) bar. A to už je 8 kompletních řad!! Předělat z </w:t>
      </w:r>
      <w:r w:rsidRPr="002F0C23">
        <w:rPr>
          <w:rFonts w:ascii="Arial" w:hAnsi="Arial" w:cs="Arial"/>
          <w:bCs/>
          <w:sz w:val="22"/>
          <w:szCs w:val="22"/>
        </w:rPr>
        <w:lastRenderedPageBreak/>
        <w:t xml:space="preserve">tlaku 1 bar na 3 nebo 4 bary a naopak není zase až tak složité – obvykle výměna ovládacích pilotů, případně pouze jejich nastavovacích pružin. Ale z pohledu směrnice pro tlaková zařízení PED/97/23EC se jedná o změnu parametrů a tedy o zásah do tlakového zařízení, který smí vykonávat pouze výrobní organizace certifikovaná pro výrobu příslušného tlakového zařízení a podléhající nařízenému dohledu nad výrobou příslušnou autorizovanou osobou. Této podmínce zcela jistě nevyhovuje žádný v ČR působící odpovědný zástupce pro zahraničního výrobce. Dle zmíněné směrnice jej tedy může provádět pouze výrobce, a pokud je proveden jiným subjektem, může se výrobce zbavit odpovědnosti spojené se zárukou na toto zařízení. To není stanovisko výrobce, ale stanovisko vycházející z platné legislativy pro tlaková zařízení. </w:t>
      </w:r>
      <w:r w:rsidRPr="002F0C23">
        <w:rPr>
          <w:rFonts w:ascii="Arial" w:hAnsi="Arial" w:cs="Arial"/>
          <w:bCs/>
          <w:sz w:val="22"/>
          <w:szCs w:val="22"/>
          <w:u w:val="single"/>
        </w:rPr>
        <w:t>Bude v těchto případech Kupující akceptovat dodávku zařízení, jež bylo vyrobeno/seřízeno nebo odzkoušeno v rozporu s legislativou pro tlaková zařízení?</w:t>
      </w:r>
    </w:p>
    <w:p w:rsidR="001C5399" w:rsidRPr="002F0C23" w:rsidRDefault="001C5399" w:rsidP="001C5399">
      <w:pPr>
        <w:spacing w:before="12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2F0C23">
        <w:rPr>
          <w:rFonts w:ascii="Arial" w:hAnsi="Arial" w:cs="Arial"/>
          <w:bCs/>
          <w:sz w:val="22"/>
          <w:szCs w:val="22"/>
        </w:rPr>
        <w:t xml:space="preserve">Je specifikován požadavek na dodávku armatury s průvodní dokumentací - jednak prohlášení shody (ten je obvykle hodně obecný a změna by se jej neměla dotknout), atest dle EN 10 204 3.1 - údaj v atestu o nastavení zařízení bude odlišný od skutečnosti.  Dále to jsou výrobní štítky armatur – údaje budou rovněž odlišné od skutečnosti. </w:t>
      </w:r>
      <w:r w:rsidRPr="002F0C23">
        <w:rPr>
          <w:rFonts w:ascii="Arial" w:hAnsi="Arial" w:cs="Arial"/>
          <w:bCs/>
          <w:sz w:val="22"/>
          <w:szCs w:val="22"/>
          <w:u w:val="single"/>
        </w:rPr>
        <w:t>Bude tento nesoulad mezi skutečností a značením/dokumentací akceptován kupujícím?</w:t>
      </w:r>
    </w:p>
    <w:p w:rsidR="001C5399" w:rsidRPr="002F0C23" w:rsidRDefault="001C5399" w:rsidP="001C53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2F0C23" w:rsidRPr="002F0C23" w:rsidRDefault="002F0C23" w:rsidP="002F0C23">
      <w:pPr>
        <w:jc w:val="both"/>
        <w:rPr>
          <w:rFonts w:ascii="Arial" w:hAnsi="Arial" w:cs="Arial"/>
          <w:color w:val="1F497D" w:themeColor="text2"/>
          <w:sz w:val="22"/>
          <w:szCs w:val="22"/>
          <w:u w:val="single"/>
        </w:rPr>
      </w:pPr>
      <w:r w:rsidRPr="002F0C23">
        <w:rPr>
          <w:rFonts w:ascii="Arial" w:hAnsi="Arial" w:cs="Arial"/>
          <w:color w:val="1F497D" w:themeColor="text2"/>
          <w:sz w:val="22"/>
          <w:szCs w:val="22"/>
          <w:u w:val="single"/>
        </w:rPr>
        <w:t xml:space="preserve">Odpověď k bodu č. </w:t>
      </w:r>
      <w:r>
        <w:rPr>
          <w:rFonts w:ascii="Arial" w:hAnsi="Arial" w:cs="Arial"/>
          <w:color w:val="1F497D" w:themeColor="text2"/>
          <w:sz w:val="22"/>
          <w:szCs w:val="22"/>
          <w:u w:val="single"/>
        </w:rPr>
        <w:t>6</w:t>
      </w:r>
      <w:r w:rsidRPr="002F0C23">
        <w:rPr>
          <w:rFonts w:ascii="Arial" w:hAnsi="Arial" w:cs="Arial"/>
          <w:color w:val="1F497D" w:themeColor="text2"/>
          <w:sz w:val="22"/>
          <w:szCs w:val="22"/>
          <w:u w:val="single"/>
        </w:rPr>
        <w:t>:</w:t>
      </w:r>
    </w:p>
    <w:p w:rsidR="000C7A00" w:rsidRPr="002F0C23" w:rsidRDefault="003C0F8B" w:rsidP="000C7A00">
      <w:pPr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2F0C23">
        <w:rPr>
          <w:rFonts w:ascii="Arial" w:hAnsi="Arial" w:cs="Arial"/>
          <w:color w:val="1F497D" w:themeColor="text2"/>
          <w:sz w:val="22"/>
          <w:szCs w:val="22"/>
        </w:rPr>
        <w:t xml:space="preserve">Aktuálně stanovené dodací termíny v </w:t>
      </w:r>
      <w:r w:rsidR="000C7A00" w:rsidRPr="002F0C23">
        <w:rPr>
          <w:rFonts w:ascii="Arial" w:hAnsi="Arial" w:cs="Arial"/>
          <w:color w:val="1F497D" w:themeColor="text2"/>
          <w:sz w:val="22"/>
          <w:szCs w:val="22"/>
        </w:rPr>
        <w:t xml:space="preserve">čl. VI. odst. 1 závazného návrhu smlouvy reflektují provozní potřeby zadavatele. Dodací lhůta činí 13 dnů od akceptace objednávky, </w:t>
      </w:r>
      <w:r w:rsidRPr="002F0C23">
        <w:rPr>
          <w:rFonts w:ascii="Arial" w:hAnsi="Arial" w:cs="Arial"/>
          <w:color w:val="1F497D" w:themeColor="text2"/>
          <w:sz w:val="22"/>
          <w:szCs w:val="22"/>
        </w:rPr>
        <w:t>tedy</w:t>
      </w:r>
      <w:r w:rsidR="000C7A00" w:rsidRPr="002F0C23">
        <w:rPr>
          <w:rFonts w:ascii="Arial" w:hAnsi="Arial" w:cs="Arial"/>
          <w:color w:val="1F497D" w:themeColor="text2"/>
          <w:sz w:val="22"/>
          <w:szCs w:val="22"/>
        </w:rPr>
        <w:t xml:space="preserve"> 21 dnů od jejího doručení dodavateli.  </w:t>
      </w:r>
    </w:p>
    <w:p w:rsidR="000C7A00" w:rsidRPr="002F0C23" w:rsidRDefault="000C7A00" w:rsidP="000C7A00">
      <w:pPr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2F0C23">
        <w:rPr>
          <w:rFonts w:ascii="Arial" w:hAnsi="Arial" w:cs="Arial"/>
          <w:color w:val="1F497D" w:themeColor="text2"/>
          <w:sz w:val="22"/>
          <w:szCs w:val="22"/>
        </w:rPr>
        <w:t xml:space="preserve">Do ustanovení čl. VI. odst. 4. závazného návrhu smlouvy zadavatel doplňuje na konec odstavce větu, která zní: „Ve stejném termínu se Kupující zavazuje odebrat a uhradit cenu Zboží, které je Kupující povinen ve smyslu čl. VI. odst. 3 držet na skladě po celou dobu její účinnosti.“ </w:t>
      </w:r>
    </w:p>
    <w:p w:rsidR="000C7A00" w:rsidRPr="002F0C23" w:rsidRDefault="000C7A00" w:rsidP="000C7A00">
      <w:pPr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2F0C23">
        <w:rPr>
          <w:rFonts w:ascii="Arial" w:hAnsi="Arial" w:cs="Arial"/>
          <w:color w:val="1F497D" w:themeColor="text2"/>
          <w:sz w:val="22"/>
          <w:szCs w:val="22"/>
        </w:rPr>
        <w:t xml:space="preserve">V </w:t>
      </w:r>
      <w:r w:rsidR="003C0F8B" w:rsidRPr="002F0C23">
        <w:rPr>
          <w:rFonts w:ascii="Arial" w:hAnsi="Arial" w:cs="Arial"/>
          <w:color w:val="1F497D" w:themeColor="text2"/>
          <w:sz w:val="22"/>
          <w:szCs w:val="22"/>
        </w:rPr>
        <w:t>článku</w:t>
      </w:r>
      <w:r w:rsidRPr="002F0C23">
        <w:rPr>
          <w:rFonts w:ascii="Arial" w:hAnsi="Arial" w:cs="Arial"/>
          <w:color w:val="1F497D" w:themeColor="text2"/>
          <w:sz w:val="22"/>
          <w:szCs w:val="22"/>
        </w:rPr>
        <w:t xml:space="preserve"> VI.</w:t>
      </w:r>
      <w:r w:rsidR="003C0F8B" w:rsidRPr="002F0C23">
        <w:rPr>
          <w:rFonts w:ascii="Arial" w:hAnsi="Arial" w:cs="Arial"/>
          <w:color w:val="1F497D" w:themeColor="text2"/>
          <w:sz w:val="22"/>
          <w:szCs w:val="22"/>
        </w:rPr>
        <w:t xml:space="preserve"> odst. </w:t>
      </w:r>
      <w:r w:rsidRPr="002F0C23">
        <w:rPr>
          <w:rFonts w:ascii="Arial" w:hAnsi="Arial" w:cs="Arial"/>
          <w:color w:val="1F497D" w:themeColor="text2"/>
          <w:sz w:val="22"/>
          <w:szCs w:val="22"/>
        </w:rPr>
        <w:t xml:space="preserve">3. </w:t>
      </w:r>
      <w:r w:rsidR="003C0F8B" w:rsidRPr="002F0C23">
        <w:rPr>
          <w:rFonts w:ascii="Arial" w:hAnsi="Arial" w:cs="Arial"/>
          <w:color w:val="1F497D" w:themeColor="text2"/>
          <w:sz w:val="22"/>
          <w:szCs w:val="22"/>
        </w:rPr>
        <w:t xml:space="preserve">závazného </w:t>
      </w:r>
      <w:r w:rsidRPr="002F0C23">
        <w:rPr>
          <w:rFonts w:ascii="Arial" w:hAnsi="Arial" w:cs="Arial"/>
          <w:color w:val="1F497D" w:themeColor="text2"/>
          <w:sz w:val="22"/>
          <w:szCs w:val="22"/>
        </w:rPr>
        <w:t>návrhu smlouvy zadavatel požaduje držet skladem armatury, u nichž je největší obrat (počet minimálního množství sestav na skladu). Kupující bude akceptovat pouze dodávky, které budou v souladu s legislativou a jejichž atesty a štítky budou odpovídat skutečnosti.</w:t>
      </w:r>
    </w:p>
    <w:p w:rsidR="000C7A00" w:rsidRPr="002F0C23" w:rsidRDefault="000C7A00" w:rsidP="000C7A00">
      <w:pPr>
        <w:jc w:val="both"/>
        <w:rPr>
          <w:rFonts w:ascii="Arial" w:hAnsi="Arial" w:cs="Arial"/>
          <w:sz w:val="22"/>
          <w:szCs w:val="22"/>
        </w:rPr>
      </w:pPr>
    </w:p>
    <w:p w:rsidR="000C7A00" w:rsidRPr="002F0C23" w:rsidRDefault="000C7A00" w:rsidP="000C7A00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2F0C23">
        <w:rPr>
          <w:rFonts w:ascii="Arial" w:hAnsi="Arial" w:cs="Arial"/>
          <w:b/>
          <w:sz w:val="22"/>
          <w:szCs w:val="22"/>
        </w:rPr>
        <w:t>Všeobecné nákupní a platební podmínky</w:t>
      </w:r>
    </w:p>
    <w:p w:rsidR="000C7A00" w:rsidRPr="002F0C23" w:rsidRDefault="000C7A00" w:rsidP="000C7A00">
      <w:pPr>
        <w:rPr>
          <w:rFonts w:ascii="Arial" w:hAnsi="Arial" w:cs="Arial"/>
          <w:sz w:val="22"/>
          <w:szCs w:val="22"/>
        </w:rPr>
      </w:pPr>
      <w:r w:rsidRPr="002F0C23">
        <w:rPr>
          <w:rFonts w:ascii="Arial" w:hAnsi="Arial" w:cs="Arial"/>
          <w:sz w:val="22"/>
          <w:szCs w:val="22"/>
        </w:rPr>
        <w:t>Při této příležitosti bych Vás chtěl požádat o zaslání platné verze „ Všeobecných nákupních a platebních podmínek“ tak jak se na ně odkazuje Příloha č. 2 Kvalifikační dokumentace „Dotazník souladu zákonných a technických požadavků s technickou specifikací příslušné společnosti skupiny RWE v ČR a kontrola systému řízení jakosti dodavatele“, v bodě 3 tohoto dotazníku.</w:t>
      </w:r>
    </w:p>
    <w:p w:rsidR="000C7A00" w:rsidRPr="002F0C23" w:rsidRDefault="000C7A00" w:rsidP="000C7A00">
      <w:pPr>
        <w:rPr>
          <w:rFonts w:ascii="Arial" w:hAnsi="Arial" w:cs="Arial"/>
          <w:sz w:val="22"/>
          <w:szCs w:val="22"/>
        </w:rPr>
      </w:pPr>
    </w:p>
    <w:p w:rsidR="002F0C23" w:rsidRPr="002F0C23" w:rsidRDefault="002F0C23" w:rsidP="002F0C23">
      <w:pPr>
        <w:jc w:val="both"/>
        <w:rPr>
          <w:rFonts w:ascii="Arial" w:hAnsi="Arial" w:cs="Arial"/>
          <w:color w:val="1F497D" w:themeColor="text2"/>
          <w:sz w:val="22"/>
          <w:szCs w:val="22"/>
          <w:u w:val="single"/>
        </w:rPr>
      </w:pPr>
      <w:r w:rsidRPr="002F0C23">
        <w:rPr>
          <w:rFonts w:ascii="Arial" w:hAnsi="Arial" w:cs="Arial"/>
          <w:color w:val="1F497D" w:themeColor="text2"/>
          <w:sz w:val="22"/>
          <w:szCs w:val="22"/>
          <w:u w:val="single"/>
        </w:rPr>
        <w:t xml:space="preserve">Odpověď k bodu č. </w:t>
      </w:r>
      <w:r>
        <w:rPr>
          <w:rFonts w:ascii="Arial" w:hAnsi="Arial" w:cs="Arial"/>
          <w:color w:val="1F497D" w:themeColor="text2"/>
          <w:sz w:val="22"/>
          <w:szCs w:val="22"/>
          <w:u w:val="single"/>
        </w:rPr>
        <w:t>7</w:t>
      </w:r>
      <w:bookmarkStart w:id="0" w:name="_GoBack"/>
      <w:bookmarkEnd w:id="0"/>
      <w:r w:rsidRPr="002F0C23">
        <w:rPr>
          <w:rFonts w:ascii="Arial" w:hAnsi="Arial" w:cs="Arial"/>
          <w:color w:val="1F497D" w:themeColor="text2"/>
          <w:sz w:val="22"/>
          <w:szCs w:val="22"/>
          <w:u w:val="single"/>
        </w:rPr>
        <w:t>:</w:t>
      </w:r>
    </w:p>
    <w:p w:rsidR="000C7A00" w:rsidRPr="002F0C23" w:rsidRDefault="000C7A00" w:rsidP="000C7A00">
      <w:pPr>
        <w:rPr>
          <w:rFonts w:ascii="Arial" w:hAnsi="Arial" w:cs="Arial"/>
          <w:color w:val="1F497D" w:themeColor="text2"/>
          <w:sz w:val="22"/>
          <w:szCs w:val="22"/>
        </w:rPr>
      </w:pPr>
      <w:r w:rsidRPr="002F0C23">
        <w:rPr>
          <w:rFonts w:ascii="Arial" w:hAnsi="Arial" w:cs="Arial"/>
          <w:color w:val="1F497D" w:themeColor="text2"/>
          <w:sz w:val="22"/>
          <w:szCs w:val="22"/>
        </w:rPr>
        <w:t xml:space="preserve">Zadavatel přikládá aktuální znění </w:t>
      </w:r>
      <w:r w:rsidR="00EB53D3" w:rsidRPr="002F0C23">
        <w:rPr>
          <w:rFonts w:ascii="Arial" w:hAnsi="Arial" w:cs="Arial"/>
          <w:color w:val="1F497D" w:themeColor="text2"/>
          <w:sz w:val="22"/>
          <w:szCs w:val="22"/>
        </w:rPr>
        <w:t>Dotazníku, kde byla v bodě 3 provedena změna.</w:t>
      </w:r>
    </w:p>
    <w:p w:rsidR="000C7A00" w:rsidRPr="002F0C23" w:rsidRDefault="000C7A00" w:rsidP="000C7A00">
      <w:pPr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1C5399" w:rsidRPr="002F0C23" w:rsidRDefault="001C5399" w:rsidP="001C5399">
      <w:pPr>
        <w:spacing w:before="120"/>
        <w:jc w:val="both"/>
        <w:rPr>
          <w:rFonts w:ascii="Arial" w:hAnsi="Arial" w:cs="Arial"/>
          <w:bCs/>
          <w:color w:val="1F497D" w:themeColor="text2"/>
          <w:sz w:val="22"/>
          <w:szCs w:val="22"/>
        </w:rPr>
      </w:pPr>
    </w:p>
    <w:sectPr w:rsidR="001C5399" w:rsidRPr="002F0C23" w:rsidSect="00804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E0CFC"/>
    <w:multiLevelType w:val="hybridMultilevel"/>
    <w:tmpl w:val="0AB64F72"/>
    <w:lvl w:ilvl="0" w:tplc="4FD29E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AD656A"/>
    <w:multiLevelType w:val="hybridMultilevel"/>
    <w:tmpl w:val="0AB64F72"/>
    <w:lvl w:ilvl="0" w:tplc="4FD29E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399"/>
    <w:rsid w:val="000C7A00"/>
    <w:rsid w:val="000F4517"/>
    <w:rsid w:val="001C5399"/>
    <w:rsid w:val="002F0C23"/>
    <w:rsid w:val="00315AF2"/>
    <w:rsid w:val="0035289F"/>
    <w:rsid w:val="003C0F8B"/>
    <w:rsid w:val="004D7814"/>
    <w:rsid w:val="00567DE0"/>
    <w:rsid w:val="007836B4"/>
    <w:rsid w:val="00804663"/>
    <w:rsid w:val="00977A2C"/>
    <w:rsid w:val="00A1304F"/>
    <w:rsid w:val="00C572A3"/>
    <w:rsid w:val="00DA0462"/>
    <w:rsid w:val="00EB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1C539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5399"/>
    <w:pPr>
      <w:ind w:left="720"/>
      <w:contextualSpacing/>
    </w:pPr>
  </w:style>
  <w:style w:type="character" w:customStyle="1" w:styleId="wobt">
    <w:name w:val="wob_t"/>
    <w:basedOn w:val="Standardnpsmoodstavce"/>
    <w:rsid w:val="000C7A00"/>
  </w:style>
  <w:style w:type="character" w:styleId="Odkaznakoment">
    <w:name w:val="annotation reference"/>
    <w:basedOn w:val="Standardnpsmoodstavce"/>
    <w:uiPriority w:val="99"/>
    <w:semiHidden/>
    <w:unhideWhenUsed/>
    <w:rsid w:val="000C7A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7A00"/>
    <w:pPr>
      <w:suppressAutoHyphens w:val="0"/>
      <w:autoSpaceDN/>
      <w:textAlignment w:val="auto"/>
    </w:pPr>
    <w:rPr>
      <w:rFonts w:ascii="Calibri" w:eastAsiaTheme="minorHAnsi" w:hAnsi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7A00"/>
    <w:rPr>
      <w:rFonts w:ascii="Calibri" w:hAnsi="Calibri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7A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7A00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289F"/>
    <w:pPr>
      <w:suppressAutoHyphens/>
      <w:autoSpaceDN w:val="0"/>
      <w:textAlignment w:val="baseline"/>
    </w:pPr>
    <w:rPr>
      <w:rFonts w:ascii="Times New Roman" w:eastAsia="Times New Roman" w:hAnsi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289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1C539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5399"/>
    <w:pPr>
      <w:ind w:left="720"/>
      <w:contextualSpacing/>
    </w:pPr>
  </w:style>
  <w:style w:type="character" w:customStyle="1" w:styleId="wobt">
    <w:name w:val="wob_t"/>
    <w:basedOn w:val="Standardnpsmoodstavce"/>
    <w:rsid w:val="000C7A00"/>
  </w:style>
  <w:style w:type="character" w:styleId="Odkaznakoment">
    <w:name w:val="annotation reference"/>
    <w:basedOn w:val="Standardnpsmoodstavce"/>
    <w:uiPriority w:val="99"/>
    <w:semiHidden/>
    <w:unhideWhenUsed/>
    <w:rsid w:val="000C7A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7A00"/>
    <w:pPr>
      <w:suppressAutoHyphens w:val="0"/>
      <w:autoSpaceDN/>
      <w:textAlignment w:val="auto"/>
    </w:pPr>
    <w:rPr>
      <w:rFonts w:ascii="Calibri" w:eastAsiaTheme="minorHAnsi" w:hAnsi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7A00"/>
    <w:rPr>
      <w:rFonts w:ascii="Calibri" w:hAnsi="Calibri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7A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7A00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289F"/>
    <w:pPr>
      <w:suppressAutoHyphens/>
      <w:autoSpaceDN w:val="0"/>
      <w:textAlignment w:val="baseline"/>
    </w:pPr>
    <w:rPr>
      <w:rFonts w:ascii="Times New Roman" w:eastAsia="Times New Roman" w:hAnsi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289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4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1980</Words>
  <Characters>11682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Vitula</dc:creator>
  <cp:lastModifiedBy>Kalábová Judita</cp:lastModifiedBy>
  <cp:revision>3</cp:revision>
  <dcterms:created xsi:type="dcterms:W3CDTF">2014-10-10T12:26:00Z</dcterms:created>
  <dcterms:modified xsi:type="dcterms:W3CDTF">2014-10-10T13:01:00Z</dcterms:modified>
</cp:coreProperties>
</file>